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EC853">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2BC38E6F">
      <w:pPr>
        <w:spacing w:line="540" w:lineRule="exact"/>
        <w:jc w:val="center"/>
        <w:rPr>
          <w:rFonts w:ascii="方正小标宋_GBK" w:hAnsi="华文中宋" w:eastAsia="方正小标宋_GBK" w:cs="宋体"/>
          <w:b/>
          <w:kern w:val="0"/>
          <w:sz w:val="48"/>
          <w:szCs w:val="48"/>
        </w:rPr>
      </w:pPr>
    </w:p>
    <w:p w14:paraId="51D63167">
      <w:pPr>
        <w:spacing w:line="540" w:lineRule="exact"/>
        <w:jc w:val="center"/>
        <w:rPr>
          <w:rFonts w:ascii="方正小标宋_GBK" w:hAnsi="华文中宋" w:eastAsia="方正小标宋_GBK" w:cs="宋体"/>
          <w:b/>
          <w:kern w:val="0"/>
          <w:sz w:val="48"/>
          <w:szCs w:val="48"/>
        </w:rPr>
      </w:pPr>
    </w:p>
    <w:p w14:paraId="4E013064">
      <w:pPr>
        <w:spacing w:line="540" w:lineRule="exact"/>
        <w:jc w:val="center"/>
        <w:rPr>
          <w:rFonts w:ascii="方正小标宋_GBK" w:hAnsi="华文中宋" w:eastAsia="方正小标宋_GBK" w:cs="宋体"/>
          <w:b/>
          <w:kern w:val="0"/>
          <w:sz w:val="48"/>
          <w:szCs w:val="48"/>
        </w:rPr>
      </w:pPr>
    </w:p>
    <w:p w14:paraId="703C8674">
      <w:pPr>
        <w:spacing w:line="540" w:lineRule="exact"/>
        <w:jc w:val="center"/>
        <w:rPr>
          <w:rFonts w:ascii="方正小标宋_GBK" w:hAnsi="华文中宋" w:eastAsia="方正小标宋_GBK" w:cs="宋体"/>
          <w:b/>
          <w:kern w:val="0"/>
          <w:sz w:val="48"/>
          <w:szCs w:val="48"/>
        </w:rPr>
      </w:pPr>
    </w:p>
    <w:p w14:paraId="00757D11">
      <w:pPr>
        <w:spacing w:line="540" w:lineRule="exact"/>
        <w:jc w:val="center"/>
        <w:rPr>
          <w:rFonts w:ascii="方正小标宋_GBK" w:hAnsi="华文中宋" w:eastAsia="方正小标宋_GBK" w:cs="宋体"/>
          <w:b/>
          <w:kern w:val="0"/>
          <w:sz w:val="48"/>
          <w:szCs w:val="48"/>
        </w:rPr>
      </w:pPr>
    </w:p>
    <w:p w14:paraId="64D16D57">
      <w:pPr>
        <w:spacing w:line="540" w:lineRule="exact"/>
        <w:jc w:val="center"/>
        <w:rPr>
          <w:rFonts w:ascii="方正小标宋_GBK" w:hAnsi="华文中宋" w:eastAsia="方正小标宋_GBK" w:cs="宋体"/>
          <w:b/>
          <w:kern w:val="0"/>
          <w:sz w:val="48"/>
          <w:szCs w:val="48"/>
        </w:rPr>
      </w:pPr>
    </w:p>
    <w:p w14:paraId="3D28304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5DC50F11">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498C591F">
      <w:pPr>
        <w:spacing w:line="540" w:lineRule="exact"/>
        <w:jc w:val="center"/>
        <w:rPr>
          <w:rFonts w:ascii="华文中宋" w:hAnsi="华文中宋" w:eastAsia="华文中宋" w:cs="宋体"/>
          <w:b/>
          <w:kern w:val="0"/>
          <w:sz w:val="52"/>
          <w:szCs w:val="52"/>
        </w:rPr>
      </w:pPr>
    </w:p>
    <w:p w14:paraId="66817811">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CE708E2">
      <w:pPr>
        <w:spacing w:line="700" w:lineRule="exact"/>
        <w:jc w:val="left"/>
        <w:rPr>
          <w:rFonts w:hint="eastAsia" w:hAnsi="宋体" w:eastAsia="仿宋_GB2312" w:cs="宋体"/>
          <w:kern w:val="0"/>
          <w:sz w:val="36"/>
          <w:szCs w:val="36"/>
        </w:rPr>
      </w:pPr>
    </w:p>
    <w:p w14:paraId="10690830">
      <w:pPr>
        <w:spacing w:line="700" w:lineRule="exact"/>
        <w:jc w:val="left"/>
        <w:rPr>
          <w:rFonts w:hint="eastAsia" w:hAnsi="宋体" w:eastAsia="仿宋_GB2312" w:cs="宋体"/>
          <w:kern w:val="0"/>
          <w:sz w:val="36"/>
          <w:szCs w:val="36"/>
        </w:rPr>
      </w:pPr>
    </w:p>
    <w:p w14:paraId="1DAD71FC">
      <w:pPr>
        <w:spacing w:line="700" w:lineRule="exact"/>
        <w:jc w:val="left"/>
        <w:rPr>
          <w:rFonts w:hint="eastAsia" w:hAnsi="宋体" w:eastAsia="仿宋_GB2312" w:cs="宋体"/>
          <w:kern w:val="0"/>
          <w:sz w:val="36"/>
          <w:szCs w:val="36"/>
          <w:lang w:eastAsia="zh-CN"/>
        </w:rPr>
      </w:pPr>
    </w:p>
    <w:p w14:paraId="55F8B47C">
      <w:pPr>
        <w:spacing w:line="700" w:lineRule="exact"/>
        <w:jc w:val="left"/>
        <w:rPr>
          <w:rFonts w:hint="eastAsia" w:hAnsi="宋体" w:eastAsia="仿宋_GB2312" w:cs="宋体"/>
          <w:kern w:val="0"/>
          <w:sz w:val="36"/>
          <w:szCs w:val="36"/>
          <w:lang w:eastAsia="zh-CN"/>
        </w:rPr>
      </w:pPr>
    </w:p>
    <w:p w14:paraId="1B595AC4">
      <w:pPr>
        <w:spacing w:line="700" w:lineRule="exact"/>
        <w:jc w:val="left"/>
        <w:rPr>
          <w:rFonts w:hint="eastAsia" w:hAnsi="宋体" w:eastAsia="仿宋_GB2312" w:cs="宋体"/>
          <w:kern w:val="0"/>
          <w:sz w:val="36"/>
          <w:szCs w:val="36"/>
          <w:lang w:eastAsia="zh-CN"/>
        </w:rPr>
      </w:pPr>
    </w:p>
    <w:p w14:paraId="2CE6BFD3">
      <w:pPr>
        <w:spacing w:line="700" w:lineRule="exact"/>
        <w:jc w:val="left"/>
        <w:rPr>
          <w:rFonts w:hint="eastAsia" w:hAnsi="宋体" w:eastAsia="仿宋_GB2312" w:cs="宋体"/>
          <w:kern w:val="0"/>
          <w:sz w:val="36"/>
          <w:szCs w:val="36"/>
          <w:lang w:eastAsia="zh-CN"/>
        </w:rPr>
      </w:pPr>
    </w:p>
    <w:p w14:paraId="55A5F4A7">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克州工商联</w:t>
      </w:r>
    </w:p>
    <w:p w14:paraId="198E9A6C">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15C70831">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0461CDE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31C7DA3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工商联是民主党派机关，主要工作任务组织、宣传贯彻落实党委、政府发展非公有制经济的方针政策，引导非公有制经济健康发展和非公有制经济人士健康成长，是联系非公有制经济的桥梁纽带作用，做好党委和政府的参谋助手。教育引导非公有制经济人士，履行好社会责任，向民营企业送信心、送政策、送信息、送服务、送法律等。</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克州工商联无下属预算单位。克州工商联本级下设3个处室，分别是：办公室、业务科、非公党建科。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克州工商联编制数10，实有人数13人，其中：在职8人，退休5人。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深入贯彻落实</w:t>
      </w:r>
      <w:r>
        <w:rPr>
          <w:rFonts w:hint="eastAsia" w:ascii="仿宋_GB2312" w:hAnsi="宋体" w:eastAsia="仿宋_GB2312"/>
          <w:b w:val="0"/>
          <w:bCs/>
          <w:sz w:val="32"/>
          <w:szCs w:val="32"/>
          <w:lang w:eastAsia="zh-CN"/>
        </w:rPr>
        <w:t>以习近平同志为核心的党中央</w:t>
      </w:r>
      <w:r>
        <w:rPr>
          <w:rFonts w:hint="eastAsia" w:ascii="仿宋_GB2312" w:hAnsi="宋体" w:eastAsia="仿宋_GB2312"/>
          <w:b w:val="0"/>
          <w:bCs/>
          <w:sz w:val="32"/>
          <w:szCs w:val="32"/>
        </w:rPr>
        <w:t>关于“三农”工作和乡村振兴工作的重要论述，克州工商联全力组织推进民营企业学习贯彻国家“乡村振兴战略部署”，开展“百企兴百村”、“消费帮扶”、“吸纳就业”、“履行社会责任”等工作措施，动员克州商贸、服务制造、建筑业、采矿业、医疗服务业等112家会员企业，开展通过就业扶贫、消贫扶贫、公益扶贫、产业扶贫等，对124村开展帮扶工作。据不完全统计，2021以来吸纳当地农民就业1500余人，各种捐物合计金额达660.871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民营企业开展“百企兴百村”行动情况。克州工商联会同克州农业农村局、乡村振兴局，在充分调研和广泛征求意见的基础上，研究制定了《克州农业局、乡村振兴局、农业银行、克州农发行关于开展“百企兴百村”行动实施意见》征求意见稿，明确了今后工作的指导思想、工作原则、目标任务、时限要求和具体举措。克州工商联所属商会和会员企业112家与克州乡村振兴局提供的124个村结对对应村。实施今后五年的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引导组织民营企业积极开展消费扶贫工作。根据自治区工商联下发《关于进一步深入开展“千企兴千村”消费扶贫行动的实施办法》，充分挖掘企业潜力，采取企业“以购代捐”“以买代帮”等方式采购农副畜牧产品，帮助贫困人口增收脱贫。经不完全统计，经州县（市）工商联牵线搭桥，组织所属商会、会员企业到乡村购买葡萄、石榴、桃子等农副产品153吨，累计消费扶贫183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加强上下联动，形成推动乡村振兴工作合力。一是着力引导副主席企业克州生产力促进中心，充分利用其培训资源，对各县（市）1713名就业人员开展技能培训，对38个脱贫村种植养殖户、电商平台人员开展技能提升培训。二是充分发挥企业家副主席企业优势，带动农副产品销售。克州工商联副主席企业新疆缘疆佳园农牧科技发展有限公司以冷链方式带动克州农产口辐射江西省周边省市，每月销售额近100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履行社会责任情况，进一步推动克州民营企业参与脱贫攻坚行动。今年以来，一是联合乡村振兴局、商务局积极开展“民营企业南疆行活动”招商引资企业共9个，预计总投资金额资金17.45亿元，解决就业人数5400人；二是在引导和发动民营企业帮扶大学生劳动力转化上做了大量的工作，12家会员企业吸纳大学生就业187名；三是农民就近就业人数增加，</w:t>
      </w:r>
      <w:r>
        <w:rPr>
          <w:rFonts w:hint="eastAsia" w:ascii="仿宋_GB2312" w:hAnsi="宋体" w:eastAsia="仿宋_GB2312"/>
          <w:b w:val="0"/>
          <w:bCs/>
          <w:sz w:val="32"/>
          <w:szCs w:val="32"/>
          <w:lang w:eastAsia="zh-CN"/>
        </w:rPr>
        <w:t>截至目前</w:t>
      </w:r>
      <w:r>
        <w:rPr>
          <w:rFonts w:hint="eastAsia" w:ascii="仿宋_GB2312" w:hAnsi="宋体" w:eastAsia="仿宋_GB2312"/>
          <w:b w:val="0"/>
          <w:bCs/>
          <w:sz w:val="32"/>
          <w:szCs w:val="32"/>
        </w:rPr>
        <w:t>组织民营企业解决农牧民就近就地就业人数达1500余人。四是引导各企业参与庭院环境整治，深入推进乡村振兴，全面改善农村居民庭院内外环境卫生，支持农村生活垃圾、污水处理、村庄绿化美化和改厨、改厕、改炕等方面建设工作，确保村容村貌干净整洁，据不完全统计投入资金23万元。五是各民营企业结合对口贫困村实际通过捐赠扶贫帮助贫困村完善基础设施、发展社会事业，不断提升贫困群众生产生活条件；各相关单位积极对接联系企业开展帮扶互动。截至目前，捐助各类物资折合人民币400万元。六是支持公益帮扶。企业在提振乡村振兴中不忘关心帮助当地农村幼儿教育事业，以实际行动支持农村幼儿教育事业的发展。在“六一”儿童节前夕，克州企业联合会向阿克陶县巴仁乡幼儿园捐赠3.5万余元户外活动器械，用实际行动关心下一代成长。</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工商业联合会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（2）收支管理：领导层是本单位收支业务管理的决策部门，负责审批单位收支业务等事项。涉及“三重一大”事项，根据《克州工商业联合会集体决策制度》和《克州工商业联合会项目管理办法》办理。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工商业联合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工商业联合会合同管理办法》相关规定，克州工商业联合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163.99万元，项目支出安排资金30.00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本单位2021年度项目支出30万元，涉及项目数量3个，其中：重点项目支出15.50万元，涉及重点项目数量1个，重点项目支出与部门项目总支出的比率为51.67%。</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2021年度本单位年初批复部门预算资金总额为139.08万元，年中调增预算总额为65.24万元，调整后全年预算资金总额为204.32万元。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2021年度本单位部门整体支出资金总额为193.99万元，预算执行率为94.94%，预算调整率为</w:t>
      </w:r>
      <w:r>
        <w:rPr>
          <w:rFonts w:hint="eastAsia" w:ascii="仿宋_GB2312" w:hAnsi="宋体" w:eastAsia="仿宋_GB2312"/>
          <w:b w:val="0"/>
          <w:bCs/>
          <w:sz w:val="32"/>
          <w:szCs w:val="32"/>
          <w:lang w:val="en-US" w:eastAsia="zh-CN"/>
        </w:rPr>
        <w:t>46.91</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年初政府采购预算数为4.75万元，实际政府采购数为4.75万元，政府采购执行率为100%。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060803A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1BFDCFE4">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为加强我单位预算管理、规范财务行为我单位制定了《克州工商业联合会内部控制规范》《克州工商业联合会项目管理规范》等资金管理制度，已建立制度均健全且有效运行。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2021年度我单位基本支出预算总额为174.32万元，其中人员经费157.50万元，公用经费16.82万元。实际执行总额为163.99万元，预算执行率94.07%。</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0.50万元，比上年减少0.02万元，减少4.51%，主要原因是：按照厉行节约的要求，2021年缩减公务车运行维护费，因此支出随之减少。其中，因公出国（境）费支出0万元；公务用车购置及运行维护费支出0.5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与年初预算数相比情况：一般公共预算“三公”经费支出年初预算数1万元，预算执行数为0.50万元，执行率为50%，主要原因是：按照厉行节约的要求，2021年缩减公务车运行维护费，因此支出随之减少。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2021年度本单位项目支出预算总额为31.50万元，实际执行资金总额为30万元，预算执行率为95.23%。</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2021年度预算安排专项资金17万元，实际支出资金15.50万元，预算执行率为91.18%，涉及项目个数1个。专项经费按照政策要求实行专款专用，不存在截留、挤占、挪用、虚列支出。各项目详细执行情况如下：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第一书记工作经费、为民办实事工作经费项目:全年预算数为17万元，预算执行数为15.50万元，预算执行率为91.18%。</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2021年度预算安排本级财力资金14.50万元，实际支出资金14.50万元，预算执行率为100%，涉及项目个数2个，各项目详细执行情况如下：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联建工作经费项目:全年预算数为7万元，预算执行数为7万元，预算执行率为100%。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政企联合办公费项目:全年预算数为7.5万元，预算执行数为7.5万元，预算执行率为100%。</w:t>
      </w:r>
    </w:p>
    <w:p w14:paraId="22B1D70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3A4C0B0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91.18%。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17万元，资金全部到位，实际使用资金15.50万元，专项资金执行率为91.18%。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①制订《克州工商业联合会经费使用规范》,为合理合规使用经费提供了有力的制度保障。同时,建立区委组织部项目经费内部管控制度，并严格按要求落实。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成本节约：我单位1个项目成本均未超预算，预算执行率达91.18%。</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我单位共有1个项目，项目实施进度已达到91.18%.</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工作经费、为民办实事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p>
    <w:p w14:paraId="283C6CD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4BE66E43">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本单位2021年初资产合计数为21.01万元，年末资产合计数为28万元。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截止本年度固定资产账面净值16.18万元，年末实际在用固定资产16.18万元，固定资产利用率为100%。</w:t>
      </w:r>
    </w:p>
    <w:p w14:paraId="0A05A1F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1577571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部门单位整体支出共设置一级指标3个，二级指标7个，三级指标14个，其中已完成三级指标14个，指标完成率为100%。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“开展企业调研活动（次）”指标：预期指标值为&gt;=4次，实际完成指标值为4次，指标完成率为100%。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“非公有制经济人士培训人数（人）”指标：预期指标值为&gt;=200人，实际完成指标值为200人，指标完成率为100%。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“保障人员人数”指标：预期指标值为=13人，实际完成指标值为13人，指标完成率为100%。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“绩效考核合格率（%）”指标：预期指标值为&gt;=85%，实际完成指标值为85%，指标完成率为100%。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“非公有制经济人士培训参与率（%）”指标：预期指标值为=100%，实际完成指标值为100%，指标完成率为100%。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“人员经费”指标：预期指标值为=128.43万元，实际完成指标值为128.43万元，指标完成率为100%。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“公用经费”指标：预期指标值为=6.15万元，实际完成指标值为6.15万元，指标完成率为100%。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“项目经费”指标：预期指标值为=4.50万元，实际完成指标值为4.50万元，指标完成率为100%。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“促进经济发展政策宣传、咨询、服务工作”指标：预期指标值为有效促进，实际完成指标值为有效促进，指标完成率为100%。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“提升基层群众精神面貌”指标：预期指标值为持续改善，实际完成指标值为持续改善，指标完成率为100%。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“引导非公有制经济健康发展”指标：预期指标值为长期，实际完成指标值为长期，指标完成率为100%。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“受益企业满意度”指标：预期指标值为&gt;=95%，实际完成指标值为95%，指标完成率为100%。</w:t>
      </w:r>
    </w:p>
    <w:p w14:paraId="4AD2937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20F251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0ADF57E4">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480EB75E">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49581F"/>
    <w:rsid w:val="02656D15"/>
    <w:rsid w:val="06696209"/>
    <w:rsid w:val="097A35D3"/>
    <w:rsid w:val="0D1922F1"/>
    <w:rsid w:val="108622B3"/>
    <w:rsid w:val="1438599A"/>
    <w:rsid w:val="200F4073"/>
    <w:rsid w:val="24B86128"/>
    <w:rsid w:val="37754FB6"/>
    <w:rsid w:val="3E7370BE"/>
    <w:rsid w:val="51C70EA9"/>
    <w:rsid w:val="54F842B6"/>
    <w:rsid w:val="5A817DD1"/>
    <w:rsid w:val="656071F2"/>
    <w:rsid w:val="6BF1756B"/>
    <w:rsid w:val="6F5E1AA3"/>
    <w:rsid w:val="7DA862FA"/>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10043</Words>
  <Characters>10517</Characters>
  <Lines>2</Lines>
  <Paragraphs>1</Paragraphs>
  <TotalTime>28</TotalTime>
  <ScaleCrop>false</ScaleCrop>
  <LinksUpToDate>false</LinksUpToDate>
  <CharactersWithSpaces>10805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2025-08-21T04:07:15Z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